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5969" w:rsidRDefault="00FB30D3">
      <w:pPr>
        <w:spacing w:line="240" w:lineRule="auto"/>
        <w:jc w:val="center"/>
        <w:rPr>
          <w:b/>
          <w:sz w:val="24"/>
          <w:szCs w:val="24"/>
        </w:rPr>
      </w:pPr>
      <w:r>
        <w:rPr>
          <w:b/>
          <w:sz w:val="24"/>
          <w:szCs w:val="24"/>
        </w:rPr>
        <w:t xml:space="preserve">FAQs for Second Interim Rule </w:t>
      </w:r>
    </w:p>
    <w:p w14:paraId="00000002" w14:textId="77777777" w:rsidR="000D5969" w:rsidRDefault="00FB30D3">
      <w:pPr>
        <w:spacing w:line="240" w:lineRule="auto"/>
        <w:jc w:val="center"/>
        <w:rPr>
          <w:b/>
          <w:sz w:val="24"/>
          <w:szCs w:val="24"/>
        </w:rPr>
      </w:pPr>
      <w:r>
        <w:rPr>
          <w:b/>
          <w:sz w:val="24"/>
          <w:szCs w:val="24"/>
        </w:rPr>
        <w:t>Implementing Section 889(a</w:t>
      </w:r>
      <w:proofErr w:type="gramStart"/>
      <w:r>
        <w:rPr>
          <w:b/>
          <w:sz w:val="24"/>
          <w:szCs w:val="24"/>
        </w:rPr>
        <w:t>)(</w:t>
      </w:r>
      <w:proofErr w:type="gramEnd"/>
      <w:r>
        <w:rPr>
          <w:b/>
          <w:sz w:val="24"/>
          <w:szCs w:val="24"/>
        </w:rPr>
        <w:t>1)(A) of Public Law 115-232</w:t>
      </w:r>
    </w:p>
    <w:p w14:paraId="00000003" w14:textId="77777777" w:rsidR="000D5969" w:rsidRDefault="000D5969">
      <w:pPr>
        <w:spacing w:before="240" w:after="240" w:line="240" w:lineRule="auto"/>
        <w:rPr>
          <w:b/>
          <w:sz w:val="24"/>
          <w:szCs w:val="24"/>
        </w:rPr>
      </w:pPr>
    </w:p>
    <w:p w14:paraId="00000004" w14:textId="77777777" w:rsidR="000D5969" w:rsidRDefault="00FB30D3">
      <w:pPr>
        <w:spacing w:before="240" w:after="240" w:line="240" w:lineRule="auto"/>
        <w:rPr>
          <w:b/>
          <w:sz w:val="24"/>
          <w:szCs w:val="24"/>
        </w:rPr>
      </w:pPr>
      <w:r>
        <w:rPr>
          <w:b/>
          <w:sz w:val="24"/>
          <w:szCs w:val="24"/>
        </w:rPr>
        <w:t>Contractor FAQs</w:t>
      </w:r>
    </w:p>
    <w:p w14:paraId="00000005" w14:textId="77777777" w:rsidR="000D5969" w:rsidRDefault="00FB30D3">
      <w:pPr>
        <w:numPr>
          <w:ilvl w:val="0"/>
          <w:numId w:val="5"/>
        </w:numPr>
        <w:spacing w:before="240" w:after="240" w:line="240" w:lineRule="auto"/>
        <w:rPr>
          <w:b/>
          <w:sz w:val="20"/>
          <w:szCs w:val="20"/>
        </w:rPr>
      </w:pPr>
      <w:r>
        <w:rPr>
          <w:b/>
          <w:sz w:val="20"/>
          <w:szCs w:val="20"/>
        </w:rPr>
        <w:t>How is this second interim rule different than the interim rule published on August 13, 2019?</w:t>
      </w:r>
    </w:p>
    <w:p w14:paraId="21C6AB50" w14:textId="6B9CEA13" w:rsidR="000E62CC" w:rsidRDefault="00FB30D3" w:rsidP="00A5543C">
      <w:pPr>
        <w:ind w:left="720"/>
        <w:rPr>
          <w:sz w:val="20"/>
          <w:szCs w:val="20"/>
        </w:rPr>
      </w:pPr>
      <w:r>
        <w:rPr>
          <w:sz w:val="20"/>
          <w:szCs w:val="20"/>
        </w:rPr>
        <w:t xml:space="preserve">This second interim rule </w:t>
      </w:r>
      <w:r w:rsidR="00611AD0">
        <w:rPr>
          <w:sz w:val="20"/>
          <w:szCs w:val="20"/>
        </w:rPr>
        <w:t xml:space="preserve">was </w:t>
      </w:r>
      <w:r>
        <w:rPr>
          <w:sz w:val="20"/>
          <w:szCs w:val="20"/>
        </w:rPr>
        <w:t xml:space="preserve">implemented to reduce the burden on the public by </w:t>
      </w:r>
      <w:r w:rsidR="00611AD0">
        <w:rPr>
          <w:sz w:val="20"/>
          <w:szCs w:val="20"/>
        </w:rPr>
        <w:t>requiring</w:t>
      </w:r>
      <w:r>
        <w:rPr>
          <w:sz w:val="20"/>
          <w:szCs w:val="20"/>
        </w:rPr>
        <w:t xml:space="preserve"> offerors to </w:t>
      </w:r>
      <w:r w:rsidR="00D633F3">
        <w:rPr>
          <w:sz w:val="20"/>
          <w:szCs w:val="20"/>
        </w:rPr>
        <w:t xml:space="preserve">provide </w:t>
      </w:r>
      <w:r w:rsidR="00166DD0">
        <w:rPr>
          <w:sz w:val="20"/>
          <w:szCs w:val="20"/>
        </w:rPr>
        <w:t>in the System for Award Management (SAM) the new annual</w:t>
      </w:r>
      <w:r w:rsidR="00D633F3">
        <w:rPr>
          <w:sz w:val="20"/>
          <w:szCs w:val="20"/>
        </w:rPr>
        <w:t xml:space="preserve"> </w:t>
      </w:r>
      <w:r w:rsidR="00611AD0">
        <w:rPr>
          <w:sz w:val="20"/>
          <w:szCs w:val="20"/>
        </w:rPr>
        <w:t xml:space="preserve">representation </w:t>
      </w:r>
      <w:r w:rsidR="00166DD0">
        <w:rPr>
          <w:sz w:val="20"/>
          <w:szCs w:val="20"/>
        </w:rPr>
        <w:t xml:space="preserve">at </w:t>
      </w:r>
      <w:r w:rsidR="00611AD0" w:rsidRPr="00611AD0">
        <w:rPr>
          <w:sz w:val="20"/>
          <w:szCs w:val="20"/>
        </w:rPr>
        <w:t>FAR 52.204-26</w:t>
      </w:r>
      <w:r w:rsidR="00D633F3">
        <w:rPr>
          <w:sz w:val="20"/>
          <w:szCs w:val="20"/>
        </w:rPr>
        <w:t>,</w:t>
      </w:r>
      <w:r w:rsidR="00611AD0" w:rsidRPr="00611AD0">
        <w:rPr>
          <w:sz w:val="20"/>
          <w:szCs w:val="20"/>
        </w:rPr>
        <w:t xml:space="preserve"> Covered Telecommunications Equipment or Services-Representation</w:t>
      </w:r>
      <w:r w:rsidR="00D633F3">
        <w:rPr>
          <w:sz w:val="20"/>
          <w:szCs w:val="20"/>
        </w:rPr>
        <w:t xml:space="preserve">, regarding </w:t>
      </w:r>
      <w:r>
        <w:rPr>
          <w:sz w:val="20"/>
          <w:szCs w:val="20"/>
        </w:rPr>
        <w:t xml:space="preserve">whether they offer to the Government </w:t>
      </w:r>
      <w:r w:rsidR="00D633F3">
        <w:rPr>
          <w:sz w:val="20"/>
          <w:szCs w:val="20"/>
        </w:rPr>
        <w:t xml:space="preserve">any </w:t>
      </w:r>
      <w:r>
        <w:rPr>
          <w:sz w:val="20"/>
          <w:szCs w:val="20"/>
        </w:rPr>
        <w:t xml:space="preserve">equipment, systems, or services that include covered telecommunications equipment or services.  An offeror that represents “does not” in the new annual representation </w:t>
      </w:r>
      <w:r w:rsidR="00166DD0">
        <w:rPr>
          <w:sz w:val="20"/>
          <w:szCs w:val="20"/>
        </w:rPr>
        <w:t xml:space="preserve">in SAM for </w:t>
      </w:r>
      <w:r>
        <w:rPr>
          <w:sz w:val="20"/>
          <w:szCs w:val="20"/>
        </w:rPr>
        <w:t>FAR 52.204-26</w:t>
      </w:r>
      <w:r w:rsidR="00166DD0">
        <w:rPr>
          <w:sz w:val="20"/>
          <w:szCs w:val="20"/>
        </w:rPr>
        <w:t>,</w:t>
      </w:r>
      <w:r>
        <w:rPr>
          <w:sz w:val="20"/>
          <w:szCs w:val="20"/>
        </w:rPr>
        <w:t xml:space="preserve"> or </w:t>
      </w:r>
      <w:r w:rsidR="00166DD0">
        <w:rPr>
          <w:sz w:val="20"/>
          <w:szCs w:val="20"/>
        </w:rPr>
        <w:t>for the representation at</w:t>
      </w:r>
      <w:r w:rsidR="00D633F3">
        <w:rPr>
          <w:sz w:val="20"/>
          <w:szCs w:val="20"/>
        </w:rPr>
        <w:t xml:space="preserve"> </w:t>
      </w:r>
      <w:r>
        <w:rPr>
          <w:sz w:val="20"/>
          <w:szCs w:val="20"/>
        </w:rPr>
        <w:t xml:space="preserve">FAR 52.212-3 (v) </w:t>
      </w:r>
      <w:r w:rsidR="00166DD0">
        <w:rPr>
          <w:sz w:val="20"/>
          <w:szCs w:val="20"/>
        </w:rPr>
        <w:t xml:space="preserve">in their offer, </w:t>
      </w:r>
      <w:r w:rsidR="00D633F3">
        <w:rPr>
          <w:sz w:val="20"/>
          <w:szCs w:val="20"/>
        </w:rPr>
        <w:t xml:space="preserve">may </w:t>
      </w:r>
      <w:r>
        <w:rPr>
          <w:sz w:val="20"/>
          <w:szCs w:val="20"/>
        </w:rPr>
        <w:t>now skip the offer-by-offer representation within the provision at FAR 52.204-24</w:t>
      </w:r>
      <w:r w:rsidR="00FB18FE">
        <w:rPr>
          <w:sz w:val="20"/>
          <w:szCs w:val="20"/>
        </w:rPr>
        <w:t>,</w:t>
      </w:r>
      <w:r w:rsidR="00FB18FE" w:rsidRPr="00FB18FE">
        <w:t xml:space="preserve"> </w:t>
      </w:r>
      <w:r w:rsidR="00FB18FE" w:rsidRPr="00FB18FE">
        <w:rPr>
          <w:sz w:val="20"/>
          <w:szCs w:val="20"/>
        </w:rPr>
        <w:t>Representation Regarding Certain Telecommunications and Video Surveillance Services or Equipment</w:t>
      </w:r>
      <w:r w:rsidR="00557A3C">
        <w:rPr>
          <w:sz w:val="20"/>
          <w:szCs w:val="20"/>
        </w:rPr>
        <w:t>.</w:t>
      </w:r>
    </w:p>
    <w:p w14:paraId="66FE2A11" w14:textId="77777777" w:rsidR="000E62CC" w:rsidRDefault="000E62CC" w:rsidP="00A5543C">
      <w:pPr>
        <w:rPr>
          <w:sz w:val="20"/>
          <w:szCs w:val="20"/>
        </w:rPr>
      </w:pPr>
    </w:p>
    <w:p w14:paraId="1507E293" w14:textId="4E6C3B62" w:rsidR="000E62CC" w:rsidRDefault="000E62CC" w:rsidP="000E62CC">
      <w:pPr>
        <w:numPr>
          <w:ilvl w:val="0"/>
          <w:numId w:val="5"/>
        </w:numPr>
        <w:spacing w:before="240" w:after="240" w:line="240" w:lineRule="auto"/>
        <w:rPr>
          <w:b/>
          <w:sz w:val="20"/>
          <w:szCs w:val="20"/>
        </w:rPr>
      </w:pPr>
      <w:r w:rsidRPr="00A5543C">
        <w:rPr>
          <w:b/>
          <w:sz w:val="20"/>
          <w:szCs w:val="20"/>
        </w:rPr>
        <w:t>I am responding to FAR 52.204-26</w:t>
      </w:r>
      <w:r>
        <w:rPr>
          <w:b/>
          <w:sz w:val="20"/>
          <w:szCs w:val="20"/>
        </w:rPr>
        <w:t>,</w:t>
      </w:r>
      <w:r w:rsidRPr="00A5543C">
        <w:rPr>
          <w:b/>
          <w:sz w:val="20"/>
          <w:szCs w:val="20"/>
        </w:rPr>
        <w:t xml:space="preserve"> Covered Telecommunications Equipment or Services </w:t>
      </w:r>
      <w:r>
        <w:rPr>
          <w:b/>
          <w:sz w:val="20"/>
          <w:szCs w:val="20"/>
        </w:rPr>
        <w:t>–</w:t>
      </w:r>
      <w:r w:rsidRPr="00A5543C">
        <w:rPr>
          <w:b/>
          <w:sz w:val="20"/>
          <w:szCs w:val="20"/>
        </w:rPr>
        <w:t xml:space="preserve"> Representation</w:t>
      </w:r>
      <w:r>
        <w:rPr>
          <w:b/>
          <w:sz w:val="20"/>
          <w:szCs w:val="20"/>
        </w:rPr>
        <w:t>,</w:t>
      </w:r>
      <w:r w:rsidRPr="00A5543C">
        <w:rPr>
          <w:b/>
          <w:sz w:val="20"/>
          <w:szCs w:val="20"/>
        </w:rPr>
        <w:t xml:space="preserve"> in my annual SAM representations and certifications. How can I search in SAM for </w:t>
      </w:r>
      <w:bookmarkStart w:id="0" w:name="_GoBack"/>
      <w:r w:rsidR="00C215A8">
        <w:rPr>
          <w:b/>
          <w:sz w:val="20"/>
          <w:szCs w:val="20"/>
        </w:rPr>
        <w:t>an entity</w:t>
      </w:r>
      <w:r w:rsidR="00C215A8" w:rsidRPr="00A5543C">
        <w:rPr>
          <w:b/>
          <w:sz w:val="20"/>
          <w:szCs w:val="20"/>
        </w:rPr>
        <w:t xml:space="preserve"> </w:t>
      </w:r>
      <w:r w:rsidRPr="00A5543C">
        <w:rPr>
          <w:b/>
          <w:sz w:val="20"/>
          <w:szCs w:val="20"/>
        </w:rPr>
        <w:t xml:space="preserve">that </w:t>
      </w:r>
      <w:r w:rsidR="00C215A8">
        <w:rPr>
          <w:b/>
          <w:sz w:val="20"/>
          <w:szCs w:val="20"/>
        </w:rPr>
        <w:t xml:space="preserve">has </w:t>
      </w:r>
      <w:r w:rsidR="00166DD0">
        <w:rPr>
          <w:b/>
          <w:sz w:val="20"/>
          <w:szCs w:val="20"/>
        </w:rPr>
        <w:t>b</w:t>
      </w:r>
      <w:bookmarkEnd w:id="0"/>
      <w:r w:rsidR="00166DD0">
        <w:rPr>
          <w:b/>
          <w:sz w:val="20"/>
          <w:szCs w:val="20"/>
        </w:rPr>
        <w:t xml:space="preserve">een identified as </w:t>
      </w:r>
      <w:r w:rsidRPr="00A5543C">
        <w:rPr>
          <w:b/>
          <w:sz w:val="20"/>
          <w:szCs w:val="20"/>
        </w:rPr>
        <w:t>provid</w:t>
      </w:r>
      <w:r w:rsidR="00166DD0">
        <w:rPr>
          <w:b/>
          <w:sz w:val="20"/>
          <w:szCs w:val="20"/>
        </w:rPr>
        <w:t>ing</w:t>
      </w:r>
      <w:r w:rsidRPr="00A5543C">
        <w:rPr>
          <w:b/>
          <w:sz w:val="20"/>
          <w:szCs w:val="20"/>
        </w:rPr>
        <w:t xml:space="preserve"> “covered telecommunications equipment or services</w:t>
      </w:r>
      <w:r>
        <w:t>”</w:t>
      </w:r>
      <w:r>
        <w:rPr>
          <w:b/>
          <w:sz w:val="20"/>
          <w:szCs w:val="20"/>
        </w:rPr>
        <w:t>?</w:t>
      </w:r>
    </w:p>
    <w:p w14:paraId="00000008" w14:textId="0A898420" w:rsidR="000D5969" w:rsidRPr="00B85E8E" w:rsidRDefault="00413476" w:rsidP="00A5543C">
      <w:pPr>
        <w:pStyle w:val="ListParagraph"/>
      </w:pPr>
      <w:r>
        <w:t xml:space="preserve"> </w:t>
      </w:r>
      <w:r w:rsidR="000E62CC">
        <w:t xml:space="preserve">  </w:t>
      </w:r>
      <w:r>
        <w:t xml:space="preserve"> </w:t>
      </w:r>
      <w:r w:rsidR="004A7545" w:rsidRPr="00A5543C">
        <w:rPr>
          <w:sz w:val="20"/>
          <w:szCs w:val="20"/>
        </w:rPr>
        <w:t xml:space="preserve"> </w:t>
      </w:r>
      <w:r w:rsidR="000E62CC">
        <w:rPr>
          <w:sz w:val="20"/>
          <w:szCs w:val="20"/>
        </w:rPr>
        <w:t xml:space="preserve"> </w:t>
      </w:r>
      <w:r w:rsidR="00FB30D3" w:rsidRPr="00A5543C">
        <w:rPr>
          <w:sz w:val="20"/>
          <w:szCs w:val="20"/>
        </w:rPr>
        <w:t xml:space="preserve">1. Go to </w:t>
      </w:r>
      <w:hyperlink r:id="rId7">
        <w:r w:rsidR="00FB30D3" w:rsidRPr="00423237">
          <w:rPr>
            <w:color w:val="1155CC"/>
            <w:sz w:val="20"/>
            <w:szCs w:val="20"/>
            <w:u w:val="single"/>
          </w:rPr>
          <w:t>https://www.sam.gov</w:t>
        </w:r>
      </w:hyperlink>
      <w:r w:rsidR="00FB30D3" w:rsidRPr="00B85E8E">
        <w:t xml:space="preserve"> </w:t>
      </w:r>
    </w:p>
    <w:p w14:paraId="00000009" w14:textId="77777777" w:rsidR="000D5969" w:rsidRDefault="00FB30D3">
      <w:pPr>
        <w:spacing w:line="240" w:lineRule="auto"/>
        <w:ind w:left="1080"/>
        <w:rPr>
          <w:b/>
          <w:sz w:val="20"/>
          <w:szCs w:val="20"/>
        </w:rPr>
      </w:pPr>
      <w:r>
        <w:rPr>
          <w:sz w:val="20"/>
          <w:szCs w:val="20"/>
        </w:rPr>
        <w:t xml:space="preserve">2. Select </w:t>
      </w:r>
      <w:r>
        <w:rPr>
          <w:b/>
          <w:sz w:val="20"/>
          <w:szCs w:val="20"/>
        </w:rPr>
        <w:t>Search Records</w:t>
      </w:r>
    </w:p>
    <w:p w14:paraId="0000000A" w14:textId="77777777" w:rsidR="000D5969" w:rsidRDefault="00FB30D3">
      <w:pPr>
        <w:spacing w:line="240" w:lineRule="auto"/>
        <w:ind w:left="1080"/>
        <w:rPr>
          <w:b/>
          <w:sz w:val="20"/>
          <w:szCs w:val="20"/>
        </w:rPr>
      </w:pPr>
      <w:r>
        <w:rPr>
          <w:sz w:val="20"/>
          <w:szCs w:val="20"/>
        </w:rPr>
        <w:t xml:space="preserve">3. Select </w:t>
      </w:r>
      <w:r>
        <w:rPr>
          <w:b/>
          <w:sz w:val="20"/>
          <w:szCs w:val="20"/>
        </w:rPr>
        <w:t>Advanced Search - Exclusion</w:t>
      </w:r>
    </w:p>
    <w:p w14:paraId="0000000B" w14:textId="77777777" w:rsidR="000D5969" w:rsidRDefault="00FB30D3">
      <w:pPr>
        <w:spacing w:line="240" w:lineRule="auto"/>
        <w:ind w:left="1080"/>
        <w:rPr>
          <w:sz w:val="20"/>
          <w:szCs w:val="20"/>
        </w:rPr>
      </w:pPr>
      <w:r>
        <w:rPr>
          <w:sz w:val="20"/>
          <w:szCs w:val="20"/>
        </w:rPr>
        <w:t xml:space="preserve">4. Acknowledge the Exclusion Search Tips by selecting </w:t>
      </w:r>
      <w:r w:rsidRPr="00423237">
        <w:rPr>
          <w:b/>
          <w:sz w:val="20"/>
          <w:szCs w:val="20"/>
        </w:rPr>
        <w:t>Continue</w:t>
      </w:r>
    </w:p>
    <w:p w14:paraId="0000000C" w14:textId="77777777" w:rsidR="000D5969" w:rsidRDefault="00FB30D3">
      <w:pPr>
        <w:spacing w:line="240" w:lineRule="auto"/>
        <w:ind w:left="1080"/>
        <w:rPr>
          <w:b/>
          <w:sz w:val="20"/>
          <w:szCs w:val="20"/>
        </w:rPr>
      </w:pPr>
      <w:r>
        <w:rPr>
          <w:sz w:val="20"/>
          <w:szCs w:val="20"/>
        </w:rPr>
        <w:t xml:space="preserve">5. Select the radio button for </w:t>
      </w:r>
      <w:r>
        <w:rPr>
          <w:b/>
          <w:sz w:val="20"/>
          <w:szCs w:val="20"/>
        </w:rPr>
        <w:t>Multiple Names</w:t>
      </w:r>
    </w:p>
    <w:p w14:paraId="0000000D" w14:textId="57E1279B" w:rsidR="000D5969" w:rsidRDefault="00FB30D3">
      <w:pPr>
        <w:spacing w:line="240" w:lineRule="auto"/>
        <w:ind w:left="1080"/>
        <w:rPr>
          <w:sz w:val="20"/>
          <w:szCs w:val="20"/>
        </w:rPr>
      </w:pPr>
      <w:r>
        <w:rPr>
          <w:sz w:val="20"/>
          <w:szCs w:val="20"/>
        </w:rPr>
        <w:t xml:space="preserve">6. Enter the entity names (one entity per field)  </w:t>
      </w:r>
    </w:p>
    <w:p w14:paraId="0000000E" w14:textId="77777777" w:rsidR="000D5969" w:rsidRDefault="00FB30D3">
      <w:pPr>
        <w:spacing w:line="240" w:lineRule="auto"/>
        <w:ind w:left="1080"/>
        <w:rPr>
          <w:b/>
          <w:sz w:val="20"/>
          <w:szCs w:val="20"/>
        </w:rPr>
      </w:pPr>
      <w:r>
        <w:rPr>
          <w:sz w:val="20"/>
          <w:szCs w:val="20"/>
        </w:rPr>
        <w:t xml:space="preserve">7. Select </w:t>
      </w:r>
      <w:r>
        <w:rPr>
          <w:b/>
          <w:sz w:val="20"/>
          <w:szCs w:val="20"/>
        </w:rPr>
        <w:t>Search</w:t>
      </w:r>
    </w:p>
    <w:p w14:paraId="0000000F" w14:textId="77777777" w:rsidR="000D5969" w:rsidRDefault="00FB30D3">
      <w:pPr>
        <w:spacing w:line="240" w:lineRule="auto"/>
        <w:ind w:left="1080"/>
        <w:rPr>
          <w:sz w:val="20"/>
          <w:szCs w:val="20"/>
        </w:rPr>
      </w:pPr>
      <w:r>
        <w:rPr>
          <w:sz w:val="20"/>
          <w:szCs w:val="20"/>
        </w:rPr>
        <w:t xml:space="preserve">8. In the search results returned, identify those records which have an exclusion type of </w:t>
      </w:r>
      <w:r w:rsidRPr="00423237">
        <w:rPr>
          <w:b/>
          <w:sz w:val="20"/>
          <w:szCs w:val="20"/>
        </w:rPr>
        <w:t>Prohibition/Restriction</w:t>
      </w:r>
    </w:p>
    <w:p w14:paraId="00000010" w14:textId="038DED95" w:rsidR="000D5969" w:rsidRDefault="00FB30D3">
      <w:pPr>
        <w:spacing w:line="240" w:lineRule="auto"/>
        <w:ind w:left="1080"/>
        <w:rPr>
          <w:i/>
          <w:sz w:val="20"/>
          <w:szCs w:val="20"/>
        </w:rPr>
      </w:pPr>
      <w:r>
        <w:rPr>
          <w:sz w:val="20"/>
          <w:szCs w:val="20"/>
        </w:rPr>
        <w:t xml:space="preserve">9. Select </w:t>
      </w:r>
      <w:r>
        <w:rPr>
          <w:b/>
          <w:sz w:val="20"/>
          <w:szCs w:val="20"/>
        </w:rPr>
        <w:t>View Details</w:t>
      </w:r>
      <w:r>
        <w:rPr>
          <w:sz w:val="20"/>
          <w:szCs w:val="20"/>
        </w:rPr>
        <w:t xml:space="preserve"> to read the nature (cause), effect, and the agency note in the Additional Comments field to ascertain the extent or limit on the sanction, restriction or partial denial. The note will say: </w:t>
      </w:r>
      <w:r>
        <w:rPr>
          <w:i/>
          <w:sz w:val="20"/>
          <w:szCs w:val="20"/>
        </w:rPr>
        <w:t>"Prohibition is limited to certain products and services. The entity is not itself excluded.  See FAR (48 CFR) subpart 4.21, implementing section 889(a)(1)(A) of Public Law 115-232, which restricts purchase of any equipment, system, or services that uses covered telecommunications equipment or services as a substantial or essential component of any system, or as critical technology as part of any system."</w:t>
      </w:r>
    </w:p>
    <w:p w14:paraId="00000011" w14:textId="0F7B6816" w:rsidR="000D5969" w:rsidRDefault="00FB30D3">
      <w:pPr>
        <w:spacing w:before="240" w:after="240" w:line="240" w:lineRule="auto"/>
        <w:rPr>
          <w:b/>
          <w:sz w:val="24"/>
          <w:szCs w:val="24"/>
        </w:rPr>
      </w:pPr>
      <w:r>
        <w:rPr>
          <w:b/>
          <w:sz w:val="24"/>
          <w:szCs w:val="24"/>
        </w:rPr>
        <w:t>Contracting Officer FAQs</w:t>
      </w:r>
    </w:p>
    <w:p w14:paraId="00000012" w14:textId="297B2F07" w:rsidR="000D5969" w:rsidRDefault="00FB30D3">
      <w:pPr>
        <w:numPr>
          <w:ilvl w:val="0"/>
          <w:numId w:val="4"/>
        </w:numPr>
        <w:spacing w:before="240" w:line="240" w:lineRule="auto"/>
        <w:rPr>
          <w:b/>
          <w:sz w:val="20"/>
          <w:szCs w:val="20"/>
        </w:rPr>
      </w:pPr>
      <w:r>
        <w:rPr>
          <w:b/>
          <w:sz w:val="20"/>
          <w:szCs w:val="20"/>
        </w:rPr>
        <w:t>The contractor registration I'm looking at doesn’t have</w:t>
      </w:r>
      <w:r w:rsidR="00166DD0">
        <w:rPr>
          <w:b/>
          <w:sz w:val="20"/>
          <w:szCs w:val="20"/>
        </w:rPr>
        <w:t xml:space="preserve"> the annual representation at</w:t>
      </w:r>
      <w:r>
        <w:rPr>
          <w:b/>
          <w:sz w:val="20"/>
          <w:szCs w:val="20"/>
        </w:rPr>
        <w:t xml:space="preserve"> FAR 52.204-26</w:t>
      </w:r>
      <w:r w:rsidR="00166DD0">
        <w:rPr>
          <w:b/>
          <w:sz w:val="20"/>
          <w:szCs w:val="20"/>
        </w:rPr>
        <w:t>,</w:t>
      </w:r>
      <w:r>
        <w:rPr>
          <w:b/>
          <w:sz w:val="20"/>
          <w:szCs w:val="20"/>
        </w:rPr>
        <w:t xml:space="preserve"> Covered Telecommunications Equipment or Services-Representation</w:t>
      </w:r>
      <w:r w:rsidR="00166DD0">
        <w:rPr>
          <w:b/>
          <w:sz w:val="20"/>
          <w:szCs w:val="20"/>
        </w:rPr>
        <w:t>, in SAM.</w:t>
      </w:r>
      <w:r>
        <w:rPr>
          <w:b/>
          <w:sz w:val="20"/>
          <w:szCs w:val="20"/>
        </w:rPr>
        <w:t xml:space="preserve"> Why not?</w:t>
      </w:r>
    </w:p>
    <w:p w14:paraId="2A63A761" w14:textId="77777777" w:rsidR="00653969" w:rsidRDefault="00653969" w:rsidP="00FB7B75">
      <w:pPr>
        <w:spacing w:line="240" w:lineRule="auto"/>
        <w:ind w:left="1440"/>
        <w:rPr>
          <w:sz w:val="20"/>
          <w:szCs w:val="20"/>
        </w:rPr>
      </w:pPr>
    </w:p>
    <w:p w14:paraId="00000015" w14:textId="131BBD43" w:rsidR="000D5969" w:rsidRDefault="00FB30D3" w:rsidP="00FB7B75">
      <w:pPr>
        <w:spacing w:line="240" w:lineRule="auto"/>
        <w:ind w:left="720"/>
        <w:rPr>
          <w:sz w:val="20"/>
          <w:szCs w:val="20"/>
        </w:rPr>
      </w:pPr>
      <w:r>
        <w:rPr>
          <w:sz w:val="20"/>
          <w:szCs w:val="20"/>
        </w:rPr>
        <w:t>The second interim rule supporting implementation of FAR Case 2018-017</w:t>
      </w:r>
      <w:r w:rsidR="00A826F5">
        <w:rPr>
          <w:sz w:val="20"/>
          <w:szCs w:val="20"/>
        </w:rPr>
        <w:t>,</w:t>
      </w:r>
      <w:r>
        <w:rPr>
          <w:sz w:val="20"/>
          <w:szCs w:val="20"/>
        </w:rPr>
        <w:t xml:space="preserve"> Prohibition on Certain Telecommunications and Video Surveillance Services or Equipment</w:t>
      </w:r>
      <w:r w:rsidR="00A826F5">
        <w:rPr>
          <w:sz w:val="20"/>
          <w:szCs w:val="20"/>
        </w:rPr>
        <w:t>,</w:t>
      </w:r>
      <w:r>
        <w:rPr>
          <w:sz w:val="20"/>
          <w:szCs w:val="20"/>
        </w:rPr>
        <w:t xml:space="preserve"> </w:t>
      </w:r>
      <w:r w:rsidR="00D66FA3">
        <w:rPr>
          <w:sz w:val="20"/>
          <w:szCs w:val="20"/>
        </w:rPr>
        <w:t xml:space="preserve">is </w:t>
      </w:r>
      <w:r>
        <w:rPr>
          <w:sz w:val="20"/>
          <w:szCs w:val="20"/>
        </w:rPr>
        <w:t>effective December 1</w:t>
      </w:r>
      <w:r w:rsidR="0073201F">
        <w:rPr>
          <w:sz w:val="20"/>
          <w:szCs w:val="20"/>
        </w:rPr>
        <w:t>3</w:t>
      </w:r>
      <w:r>
        <w:rPr>
          <w:sz w:val="20"/>
          <w:szCs w:val="20"/>
        </w:rPr>
        <w:t xml:space="preserve">, 2019. </w:t>
      </w:r>
      <w:r w:rsidRPr="00C80391">
        <w:rPr>
          <w:sz w:val="20"/>
          <w:szCs w:val="20"/>
        </w:rPr>
        <w:t xml:space="preserve">As contractors go through their annual renewal, or update their entity registration in SAM prior to submitting an offer, they will be asked if they "provide covered telecommunications </w:t>
      </w:r>
      <w:r w:rsidRPr="00C80391">
        <w:rPr>
          <w:sz w:val="20"/>
          <w:szCs w:val="20"/>
        </w:rPr>
        <w:lastRenderedPageBreak/>
        <w:t xml:space="preserve">equipment or services as a part of its offered products or services to the Government in the performance of any contract, subcontract, or other contractual instrument." </w:t>
      </w:r>
      <w:r w:rsidR="00653969">
        <w:rPr>
          <w:sz w:val="20"/>
          <w:szCs w:val="20"/>
        </w:rPr>
        <w:t>When a contractor responds, their</w:t>
      </w:r>
      <w:r>
        <w:rPr>
          <w:sz w:val="20"/>
          <w:szCs w:val="20"/>
        </w:rPr>
        <w:t xml:space="preserve"> response will populate the representation in FAR 52.204-26. If </w:t>
      </w:r>
      <w:r w:rsidR="00653969">
        <w:rPr>
          <w:sz w:val="20"/>
          <w:szCs w:val="20"/>
        </w:rPr>
        <w:t>it is necessary</w:t>
      </w:r>
      <w:r>
        <w:rPr>
          <w:sz w:val="20"/>
          <w:szCs w:val="20"/>
        </w:rPr>
        <w:t xml:space="preserve"> to see </w:t>
      </w:r>
      <w:r w:rsidR="00653969">
        <w:rPr>
          <w:sz w:val="20"/>
          <w:szCs w:val="20"/>
        </w:rPr>
        <w:t xml:space="preserve">a contractor’s </w:t>
      </w:r>
      <w:r>
        <w:rPr>
          <w:sz w:val="20"/>
          <w:szCs w:val="20"/>
        </w:rPr>
        <w:t xml:space="preserve">response before the annual renewal period, </w:t>
      </w:r>
      <w:r w:rsidR="00653969">
        <w:rPr>
          <w:sz w:val="20"/>
          <w:szCs w:val="20"/>
        </w:rPr>
        <w:t>a contracting officer may request</w:t>
      </w:r>
      <w:r>
        <w:rPr>
          <w:sz w:val="20"/>
          <w:szCs w:val="20"/>
        </w:rPr>
        <w:t xml:space="preserve"> </w:t>
      </w:r>
      <w:r w:rsidR="00653969">
        <w:rPr>
          <w:sz w:val="20"/>
          <w:szCs w:val="20"/>
        </w:rPr>
        <w:t xml:space="preserve">the contractor </w:t>
      </w:r>
      <w:r>
        <w:rPr>
          <w:sz w:val="20"/>
          <w:szCs w:val="20"/>
        </w:rPr>
        <w:t>update their SAM registration.</w:t>
      </w:r>
    </w:p>
    <w:p w14:paraId="00000016" w14:textId="77777777" w:rsidR="000D5969" w:rsidRDefault="000D5969">
      <w:pPr>
        <w:spacing w:line="240" w:lineRule="auto"/>
        <w:ind w:left="720"/>
        <w:rPr>
          <w:sz w:val="20"/>
          <w:szCs w:val="20"/>
        </w:rPr>
      </w:pPr>
    </w:p>
    <w:p w14:paraId="00000017" w14:textId="58362AC1" w:rsidR="000D5969" w:rsidRDefault="00FB30D3">
      <w:pPr>
        <w:numPr>
          <w:ilvl w:val="0"/>
          <w:numId w:val="2"/>
        </w:numPr>
        <w:spacing w:line="240" w:lineRule="auto"/>
        <w:rPr>
          <w:b/>
          <w:sz w:val="20"/>
          <w:szCs w:val="20"/>
        </w:rPr>
      </w:pPr>
      <w:r>
        <w:rPr>
          <w:b/>
          <w:sz w:val="20"/>
          <w:szCs w:val="20"/>
        </w:rPr>
        <w:t>The contractor registration I’m looking at responded in FAR 52.204-26</w:t>
      </w:r>
      <w:r w:rsidR="00C80391">
        <w:rPr>
          <w:b/>
          <w:sz w:val="20"/>
          <w:szCs w:val="20"/>
        </w:rPr>
        <w:t xml:space="preserve"> or</w:t>
      </w:r>
      <w:r>
        <w:rPr>
          <w:b/>
          <w:sz w:val="20"/>
          <w:szCs w:val="20"/>
        </w:rPr>
        <w:t xml:space="preserve"> FAR 52.212-3(v) that they provide covered telecommunications equipment or services as a part of their offered products or services to the Government in the performance of any contract, subcontract, or other contractual instrument. Now what?</w:t>
      </w:r>
    </w:p>
    <w:p w14:paraId="25881C8E" w14:textId="77777777" w:rsidR="00653969" w:rsidRDefault="00653969" w:rsidP="00FB7B75">
      <w:pPr>
        <w:spacing w:line="240" w:lineRule="auto"/>
        <w:ind w:left="720"/>
        <w:rPr>
          <w:b/>
          <w:sz w:val="20"/>
          <w:szCs w:val="20"/>
        </w:rPr>
      </w:pPr>
    </w:p>
    <w:p w14:paraId="00000018" w14:textId="58837A79" w:rsidR="000D5969" w:rsidRDefault="0060389B">
      <w:pPr>
        <w:numPr>
          <w:ilvl w:val="0"/>
          <w:numId w:val="3"/>
        </w:numPr>
        <w:spacing w:line="240" w:lineRule="auto"/>
        <w:ind w:left="1440"/>
        <w:rPr>
          <w:sz w:val="20"/>
          <w:szCs w:val="20"/>
        </w:rPr>
      </w:pPr>
      <w:r>
        <w:rPr>
          <w:sz w:val="20"/>
          <w:szCs w:val="20"/>
        </w:rPr>
        <w:t xml:space="preserve">If an offeror </w:t>
      </w:r>
      <w:r w:rsidR="00C80391" w:rsidRPr="00C80391">
        <w:rPr>
          <w:sz w:val="20"/>
          <w:szCs w:val="20"/>
        </w:rPr>
        <w:t xml:space="preserve">selects “does” in response to the </w:t>
      </w:r>
      <w:r w:rsidR="00A826F5">
        <w:rPr>
          <w:sz w:val="20"/>
          <w:szCs w:val="20"/>
        </w:rPr>
        <w:t xml:space="preserve">FAR </w:t>
      </w:r>
      <w:r w:rsidR="00C80391" w:rsidRPr="00C80391">
        <w:rPr>
          <w:sz w:val="20"/>
          <w:szCs w:val="20"/>
        </w:rPr>
        <w:t xml:space="preserve">52.204-26 </w:t>
      </w:r>
      <w:r w:rsidR="00A826F5">
        <w:rPr>
          <w:sz w:val="20"/>
          <w:szCs w:val="20"/>
        </w:rPr>
        <w:t xml:space="preserve">representation </w:t>
      </w:r>
      <w:r w:rsidR="009F03FB">
        <w:rPr>
          <w:sz w:val="20"/>
          <w:szCs w:val="20"/>
        </w:rPr>
        <w:t xml:space="preserve">in SAM </w:t>
      </w:r>
      <w:r w:rsidR="00C80391" w:rsidRPr="00C80391">
        <w:rPr>
          <w:sz w:val="20"/>
          <w:szCs w:val="20"/>
        </w:rPr>
        <w:t xml:space="preserve">or </w:t>
      </w:r>
      <w:r w:rsidR="00A826F5">
        <w:rPr>
          <w:sz w:val="20"/>
          <w:szCs w:val="20"/>
        </w:rPr>
        <w:t xml:space="preserve">the </w:t>
      </w:r>
      <w:r w:rsidR="00C80391" w:rsidRPr="00C80391">
        <w:rPr>
          <w:sz w:val="20"/>
          <w:szCs w:val="20"/>
        </w:rPr>
        <w:t>52.212-3(v)</w:t>
      </w:r>
      <w:r w:rsidR="00A826F5">
        <w:rPr>
          <w:sz w:val="20"/>
          <w:szCs w:val="20"/>
        </w:rPr>
        <w:t xml:space="preserve"> representation</w:t>
      </w:r>
      <w:r w:rsidR="00C80391" w:rsidRPr="00C80391">
        <w:rPr>
          <w:sz w:val="20"/>
          <w:szCs w:val="20"/>
        </w:rPr>
        <w:t>, the offeror must complete the representation at 52.204-24</w:t>
      </w:r>
      <w:r w:rsidR="00FB30D3">
        <w:rPr>
          <w:sz w:val="20"/>
          <w:szCs w:val="20"/>
        </w:rPr>
        <w:t xml:space="preserve">. </w:t>
      </w:r>
      <w:r w:rsidR="00A826F5">
        <w:rPr>
          <w:sz w:val="20"/>
          <w:szCs w:val="20"/>
        </w:rPr>
        <w:t>H</w:t>
      </w:r>
      <w:r w:rsidR="00FB30D3">
        <w:rPr>
          <w:sz w:val="20"/>
          <w:szCs w:val="20"/>
        </w:rPr>
        <w:t xml:space="preserve">ow the offeror responds to the representation at 52.204-24 will determine whether additional information is required (see </w:t>
      </w:r>
      <w:r w:rsidR="00C80391">
        <w:rPr>
          <w:sz w:val="20"/>
          <w:szCs w:val="20"/>
        </w:rPr>
        <w:t xml:space="preserve">FAR </w:t>
      </w:r>
      <w:r w:rsidR="00FB30D3">
        <w:rPr>
          <w:sz w:val="20"/>
          <w:szCs w:val="20"/>
        </w:rPr>
        <w:t xml:space="preserve">4.2103).  </w:t>
      </w:r>
    </w:p>
    <w:p w14:paraId="53FD140B" w14:textId="77777777" w:rsidR="00A5543C" w:rsidRDefault="00A5543C" w:rsidP="00A5543C">
      <w:pPr>
        <w:spacing w:line="240" w:lineRule="auto"/>
        <w:ind w:left="1440"/>
        <w:rPr>
          <w:sz w:val="20"/>
          <w:szCs w:val="20"/>
        </w:rPr>
      </w:pPr>
    </w:p>
    <w:p w14:paraId="26D084CB" w14:textId="20CF2CC5" w:rsidR="00E34173" w:rsidRPr="00A5543C" w:rsidRDefault="00FB30D3" w:rsidP="00A5543C">
      <w:pPr>
        <w:numPr>
          <w:ilvl w:val="0"/>
          <w:numId w:val="3"/>
        </w:numPr>
        <w:spacing w:line="240" w:lineRule="auto"/>
        <w:ind w:left="1440"/>
        <w:rPr>
          <w:sz w:val="20"/>
          <w:szCs w:val="20"/>
        </w:rPr>
      </w:pPr>
      <w:r>
        <w:rPr>
          <w:sz w:val="20"/>
          <w:szCs w:val="20"/>
        </w:rPr>
        <w:t xml:space="preserve">If an offeror </w:t>
      </w:r>
      <w:r w:rsidR="00A826F5">
        <w:rPr>
          <w:sz w:val="20"/>
          <w:szCs w:val="20"/>
        </w:rPr>
        <w:t xml:space="preserve">selects </w:t>
      </w:r>
      <w:r w:rsidR="003828A8">
        <w:rPr>
          <w:sz w:val="20"/>
          <w:szCs w:val="20"/>
        </w:rPr>
        <w:t xml:space="preserve">“does” in </w:t>
      </w:r>
      <w:r w:rsidR="00703BEB">
        <w:rPr>
          <w:sz w:val="20"/>
          <w:szCs w:val="20"/>
        </w:rPr>
        <w:t xml:space="preserve">response to the </w:t>
      </w:r>
      <w:r w:rsidR="003828A8">
        <w:rPr>
          <w:sz w:val="20"/>
          <w:szCs w:val="20"/>
        </w:rPr>
        <w:t>FAR 52.204-26</w:t>
      </w:r>
      <w:r w:rsidR="00703BEB">
        <w:rPr>
          <w:sz w:val="20"/>
          <w:szCs w:val="20"/>
        </w:rPr>
        <w:t xml:space="preserve"> </w:t>
      </w:r>
      <w:r w:rsidR="00A826F5">
        <w:rPr>
          <w:sz w:val="20"/>
          <w:szCs w:val="20"/>
        </w:rPr>
        <w:t xml:space="preserve">representation </w:t>
      </w:r>
      <w:r w:rsidR="00703BEB">
        <w:rPr>
          <w:sz w:val="20"/>
          <w:szCs w:val="20"/>
        </w:rPr>
        <w:t>in SAM</w:t>
      </w:r>
      <w:r w:rsidR="009F03FB">
        <w:rPr>
          <w:sz w:val="20"/>
          <w:szCs w:val="20"/>
        </w:rPr>
        <w:t xml:space="preserve"> or </w:t>
      </w:r>
      <w:r w:rsidR="00A826F5">
        <w:rPr>
          <w:sz w:val="20"/>
          <w:szCs w:val="20"/>
        </w:rPr>
        <w:t xml:space="preserve">the </w:t>
      </w:r>
      <w:r w:rsidR="009F03FB" w:rsidRPr="00C80391">
        <w:rPr>
          <w:sz w:val="20"/>
          <w:szCs w:val="20"/>
        </w:rPr>
        <w:t>52.212-3(v)</w:t>
      </w:r>
      <w:r w:rsidR="00A826F5">
        <w:rPr>
          <w:sz w:val="20"/>
          <w:szCs w:val="20"/>
        </w:rPr>
        <w:t xml:space="preserve"> representation</w:t>
      </w:r>
      <w:r w:rsidR="003828A8">
        <w:rPr>
          <w:sz w:val="20"/>
          <w:szCs w:val="20"/>
        </w:rPr>
        <w:t xml:space="preserve">, but fails to respond to </w:t>
      </w:r>
      <w:r w:rsidR="00A826F5">
        <w:rPr>
          <w:sz w:val="20"/>
          <w:szCs w:val="20"/>
        </w:rPr>
        <w:t xml:space="preserve">the </w:t>
      </w:r>
      <w:r>
        <w:rPr>
          <w:sz w:val="20"/>
          <w:szCs w:val="20"/>
        </w:rPr>
        <w:t>FAR 52.204-24</w:t>
      </w:r>
      <w:r w:rsidR="00A826F5">
        <w:rPr>
          <w:sz w:val="20"/>
          <w:szCs w:val="20"/>
        </w:rPr>
        <w:t xml:space="preserve"> representation</w:t>
      </w:r>
      <w:r>
        <w:rPr>
          <w:sz w:val="20"/>
          <w:szCs w:val="20"/>
        </w:rPr>
        <w:t xml:space="preserve">, the contracting officer should </w:t>
      </w:r>
      <w:r w:rsidR="00C80391">
        <w:rPr>
          <w:sz w:val="20"/>
          <w:szCs w:val="20"/>
        </w:rPr>
        <w:t xml:space="preserve">handle </w:t>
      </w:r>
      <w:r>
        <w:rPr>
          <w:sz w:val="20"/>
          <w:szCs w:val="20"/>
        </w:rPr>
        <w:t xml:space="preserve">this </w:t>
      </w:r>
      <w:r w:rsidR="00C80391">
        <w:rPr>
          <w:sz w:val="20"/>
          <w:szCs w:val="20"/>
        </w:rPr>
        <w:t xml:space="preserve">in </w:t>
      </w:r>
      <w:r>
        <w:rPr>
          <w:sz w:val="20"/>
          <w:szCs w:val="20"/>
        </w:rPr>
        <w:t xml:space="preserve">the same </w:t>
      </w:r>
      <w:r w:rsidR="00C80391">
        <w:rPr>
          <w:sz w:val="20"/>
          <w:szCs w:val="20"/>
        </w:rPr>
        <w:t xml:space="preserve">way </w:t>
      </w:r>
      <w:r w:rsidR="00A826F5">
        <w:rPr>
          <w:sz w:val="20"/>
          <w:szCs w:val="20"/>
        </w:rPr>
        <w:t xml:space="preserve">he or she would handle omission of </w:t>
      </w:r>
      <w:r>
        <w:rPr>
          <w:sz w:val="20"/>
          <w:szCs w:val="20"/>
        </w:rPr>
        <w:t xml:space="preserve">any other required representation.  </w:t>
      </w:r>
    </w:p>
    <w:p w14:paraId="0000001A" w14:textId="77777777" w:rsidR="000D5969" w:rsidRDefault="000D5969">
      <w:pPr>
        <w:spacing w:line="240" w:lineRule="auto"/>
        <w:rPr>
          <w:b/>
          <w:sz w:val="20"/>
          <w:szCs w:val="20"/>
        </w:rPr>
      </w:pPr>
    </w:p>
    <w:p w14:paraId="0000001B" w14:textId="18D3AF77" w:rsidR="000D5969" w:rsidRDefault="000D5969" w:rsidP="00D278A2">
      <w:pPr>
        <w:spacing w:line="240" w:lineRule="auto"/>
        <w:rPr>
          <w:sz w:val="20"/>
          <w:szCs w:val="20"/>
        </w:rPr>
      </w:pPr>
    </w:p>
    <w:sectPr w:rsidR="000D59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133"/>
    <w:multiLevelType w:val="hybridMultilevel"/>
    <w:tmpl w:val="6698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2497B"/>
    <w:multiLevelType w:val="hybridMultilevel"/>
    <w:tmpl w:val="8130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67687"/>
    <w:multiLevelType w:val="hybridMultilevel"/>
    <w:tmpl w:val="B1967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EA7FCA"/>
    <w:multiLevelType w:val="multilevel"/>
    <w:tmpl w:val="5AD04B0E"/>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4">
    <w:nsid w:val="4E943FB5"/>
    <w:multiLevelType w:val="multilevel"/>
    <w:tmpl w:val="A7FE5E3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58394BB7"/>
    <w:multiLevelType w:val="multilevel"/>
    <w:tmpl w:val="CEF409B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AA33B1C"/>
    <w:multiLevelType w:val="multilevel"/>
    <w:tmpl w:val="B35698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6D6C1F72"/>
    <w:multiLevelType w:val="multilevel"/>
    <w:tmpl w:val="020C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4"/>
  </w:num>
  <w:num w:numId="4">
    <w:abstractNumId w:val="7"/>
  </w:num>
  <w:num w:numId="5">
    <w:abstractNumId w:val="3"/>
  </w:num>
  <w:num w:numId="6">
    <w:abstractNumId w:val="1"/>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tchens, Heather CIV OSD OUSD A-S (USA)">
    <w15:presenceInfo w15:providerId="None" w15:userId="Kitchens, Heather CIV OSD OUSD A-S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69"/>
    <w:rsid w:val="00072BDD"/>
    <w:rsid w:val="000D5969"/>
    <w:rsid w:val="000E62CC"/>
    <w:rsid w:val="001121F8"/>
    <w:rsid w:val="00166DD0"/>
    <w:rsid w:val="00217E9B"/>
    <w:rsid w:val="003150B1"/>
    <w:rsid w:val="003828A8"/>
    <w:rsid w:val="00413476"/>
    <w:rsid w:val="00423237"/>
    <w:rsid w:val="00456EDC"/>
    <w:rsid w:val="00460298"/>
    <w:rsid w:val="0046328A"/>
    <w:rsid w:val="004A7545"/>
    <w:rsid w:val="00557A3C"/>
    <w:rsid w:val="005623DE"/>
    <w:rsid w:val="0060389B"/>
    <w:rsid w:val="00611AD0"/>
    <w:rsid w:val="00653969"/>
    <w:rsid w:val="00703BEB"/>
    <w:rsid w:val="0073201F"/>
    <w:rsid w:val="0074467F"/>
    <w:rsid w:val="00760069"/>
    <w:rsid w:val="00995D6A"/>
    <w:rsid w:val="009F03FB"/>
    <w:rsid w:val="00A5543C"/>
    <w:rsid w:val="00A826F5"/>
    <w:rsid w:val="00AC6B1E"/>
    <w:rsid w:val="00AC6DA0"/>
    <w:rsid w:val="00B37B2F"/>
    <w:rsid w:val="00B60258"/>
    <w:rsid w:val="00B85E8E"/>
    <w:rsid w:val="00C215A8"/>
    <w:rsid w:val="00C518D3"/>
    <w:rsid w:val="00C80391"/>
    <w:rsid w:val="00C817D7"/>
    <w:rsid w:val="00D278A2"/>
    <w:rsid w:val="00D633F3"/>
    <w:rsid w:val="00D66FA3"/>
    <w:rsid w:val="00E34173"/>
    <w:rsid w:val="00EF7540"/>
    <w:rsid w:val="00F85C2E"/>
    <w:rsid w:val="00FA444D"/>
    <w:rsid w:val="00FB18FE"/>
    <w:rsid w:val="00FB30D3"/>
    <w:rsid w:val="00FB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80391"/>
    <w:rPr>
      <w:sz w:val="16"/>
      <w:szCs w:val="16"/>
    </w:rPr>
  </w:style>
  <w:style w:type="paragraph" w:styleId="CommentText">
    <w:name w:val="annotation text"/>
    <w:basedOn w:val="Normal"/>
    <w:link w:val="CommentTextChar"/>
    <w:uiPriority w:val="99"/>
    <w:semiHidden/>
    <w:unhideWhenUsed/>
    <w:rsid w:val="00C80391"/>
    <w:pPr>
      <w:spacing w:line="240" w:lineRule="auto"/>
    </w:pPr>
    <w:rPr>
      <w:sz w:val="20"/>
      <w:szCs w:val="20"/>
    </w:rPr>
  </w:style>
  <w:style w:type="character" w:customStyle="1" w:styleId="CommentTextChar">
    <w:name w:val="Comment Text Char"/>
    <w:basedOn w:val="DefaultParagraphFont"/>
    <w:link w:val="CommentText"/>
    <w:uiPriority w:val="99"/>
    <w:semiHidden/>
    <w:rsid w:val="00C80391"/>
    <w:rPr>
      <w:sz w:val="20"/>
      <w:szCs w:val="20"/>
    </w:rPr>
  </w:style>
  <w:style w:type="paragraph" w:styleId="CommentSubject">
    <w:name w:val="annotation subject"/>
    <w:basedOn w:val="CommentText"/>
    <w:next w:val="CommentText"/>
    <w:link w:val="CommentSubjectChar"/>
    <w:uiPriority w:val="99"/>
    <w:semiHidden/>
    <w:unhideWhenUsed/>
    <w:rsid w:val="00C80391"/>
    <w:rPr>
      <w:b/>
      <w:bCs/>
    </w:rPr>
  </w:style>
  <w:style w:type="character" w:customStyle="1" w:styleId="CommentSubjectChar">
    <w:name w:val="Comment Subject Char"/>
    <w:basedOn w:val="CommentTextChar"/>
    <w:link w:val="CommentSubject"/>
    <w:uiPriority w:val="99"/>
    <w:semiHidden/>
    <w:rsid w:val="00C80391"/>
    <w:rPr>
      <w:b/>
      <w:bCs/>
      <w:sz w:val="20"/>
      <w:szCs w:val="20"/>
    </w:rPr>
  </w:style>
  <w:style w:type="paragraph" w:styleId="Revision">
    <w:name w:val="Revision"/>
    <w:hidden/>
    <w:uiPriority w:val="99"/>
    <w:semiHidden/>
    <w:rsid w:val="00C80391"/>
    <w:pPr>
      <w:spacing w:line="240" w:lineRule="auto"/>
    </w:pPr>
  </w:style>
  <w:style w:type="paragraph" w:styleId="BalloonText">
    <w:name w:val="Balloon Text"/>
    <w:basedOn w:val="Normal"/>
    <w:link w:val="BalloonTextChar"/>
    <w:uiPriority w:val="99"/>
    <w:semiHidden/>
    <w:unhideWhenUsed/>
    <w:rsid w:val="00C80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91"/>
    <w:rPr>
      <w:rFonts w:ascii="Segoe UI" w:hAnsi="Segoe UI" w:cs="Segoe UI"/>
      <w:sz w:val="18"/>
      <w:szCs w:val="18"/>
    </w:rPr>
  </w:style>
  <w:style w:type="paragraph" w:styleId="ListParagraph">
    <w:name w:val="List Paragraph"/>
    <w:basedOn w:val="Normal"/>
    <w:uiPriority w:val="34"/>
    <w:qFormat/>
    <w:rsid w:val="00E34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80391"/>
    <w:rPr>
      <w:sz w:val="16"/>
      <w:szCs w:val="16"/>
    </w:rPr>
  </w:style>
  <w:style w:type="paragraph" w:styleId="CommentText">
    <w:name w:val="annotation text"/>
    <w:basedOn w:val="Normal"/>
    <w:link w:val="CommentTextChar"/>
    <w:uiPriority w:val="99"/>
    <w:semiHidden/>
    <w:unhideWhenUsed/>
    <w:rsid w:val="00C80391"/>
    <w:pPr>
      <w:spacing w:line="240" w:lineRule="auto"/>
    </w:pPr>
    <w:rPr>
      <w:sz w:val="20"/>
      <w:szCs w:val="20"/>
    </w:rPr>
  </w:style>
  <w:style w:type="character" w:customStyle="1" w:styleId="CommentTextChar">
    <w:name w:val="Comment Text Char"/>
    <w:basedOn w:val="DefaultParagraphFont"/>
    <w:link w:val="CommentText"/>
    <w:uiPriority w:val="99"/>
    <w:semiHidden/>
    <w:rsid w:val="00C80391"/>
    <w:rPr>
      <w:sz w:val="20"/>
      <w:szCs w:val="20"/>
    </w:rPr>
  </w:style>
  <w:style w:type="paragraph" w:styleId="CommentSubject">
    <w:name w:val="annotation subject"/>
    <w:basedOn w:val="CommentText"/>
    <w:next w:val="CommentText"/>
    <w:link w:val="CommentSubjectChar"/>
    <w:uiPriority w:val="99"/>
    <w:semiHidden/>
    <w:unhideWhenUsed/>
    <w:rsid w:val="00C80391"/>
    <w:rPr>
      <w:b/>
      <w:bCs/>
    </w:rPr>
  </w:style>
  <w:style w:type="character" w:customStyle="1" w:styleId="CommentSubjectChar">
    <w:name w:val="Comment Subject Char"/>
    <w:basedOn w:val="CommentTextChar"/>
    <w:link w:val="CommentSubject"/>
    <w:uiPriority w:val="99"/>
    <w:semiHidden/>
    <w:rsid w:val="00C80391"/>
    <w:rPr>
      <w:b/>
      <w:bCs/>
      <w:sz w:val="20"/>
      <w:szCs w:val="20"/>
    </w:rPr>
  </w:style>
  <w:style w:type="paragraph" w:styleId="Revision">
    <w:name w:val="Revision"/>
    <w:hidden/>
    <w:uiPriority w:val="99"/>
    <w:semiHidden/>
    <w:rsid w:val="00C80391"/>
    <w:pPr>
      <w:spacing w:line="240" w:lineRule="auto"/>
    </w:pPr>
  </w:style>
  <w:style w:type="paragraph" w:styleId="BalloonText">
    <w:name w:val="Balloon Text"/>
    <w:basedOn w:val="Normal"/>
    <w:link w:val="BalloonTextChar"/>
    <w:uiPriority w:val="99"/>
    <w:semiHidden/>
    <w:unhideWhenUsed/>
    <w:rsid w:val="00C80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91"/>
    <w:rPr>
      <w:rFonts w:ascii="Segoe UI" w:hAnsi="Segoe UI" w:cs="Segoe UI"/>
      <w:sz w:val="18"/>
      <w:szCs w:val="18"/>
    </w:rPr>
  </w:style>
  <w:style w:type="paragraph" w:styleId="ListParagraph">
    <w:name w:val="List Paragraph"/>
    <w:basedOn w:val="Normal"/>
    <w:uiPriority w:val="34"/>
    <w:qFormat/>
    <w:rsid w:val="00E3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D05F-B391-43FF-9B21-BB35012D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CamaraFrancis</dc:creator>
  <cp:lastModifiedBy>CamaraFrancis</cp:lastModifiedBy>
  <cp:revision>2</cp:revision>
  <dcterms:created xsi:type="dcterms:W3CDTF">2019-12-12T21:47:00Z</dcterms:created>
  <dcterms:modified xsi:type="dcterms:W3CDTF">2019-12-12T21:47:00Z</dcterms:modified>
</cp:coreProperties>
</file>